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05" w:rsidRPr="003B3D05" w:rsidRDefault="00DB0C0A" w:rsidP="003B3D05">
      <w:pPr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554A1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studenoga</w:t>
      </w:r>
      <w:r w:rsidR="00764B9E">
        <w:rPr>
          <w:rFonts w:asciiTheme="minorHAnsi" w:hAnsiTheme="minorHAnsi"/>
        </w:rPr>
        <w:t xml:space="preserve"> 2020. </w:t>
      </w:r>
    </w:p>
    <w:p w:rsidR="00CB445F" w:rsidRDefault="003B3D05" w:rsidP="00CB445F">
      <w:pPr>
        <w:rPr>
          <w:rFonts w:asciiTheme="minorHAnsi" w:hAnsiTheme="minorHAnsi"/>
          <w:sz w:val="20"/>
          <w:szCs w:val="20"/>
        </w:rPr>
      </w:pPr>
      <w:r w:rsidRPr="003B3D05">
        <w:rPr>
          <w:rFonts w:asciiTheme="minorHAnsi" w:hAnsiTheme="minorHAnsi"/>
          <w:sz w:val="20"/>
          <w:szCs w:val="20"/>
        </w:rPr>
        <w:t>Br.</w:t>
      </w:r>
      <w:r w:rsidR="000022F1">
        <w:rPr>
          <w:rFonts w:asciiTheme="minorHAnsi" w:hAnsiTheme="minorHAnsi"/>
          <w:sz w:val="20"/>
          <w:szCs w:val="20"/>
        </w:rPr>
        <w:t xml:space="preserve"> </w:t>
      </w:r>
      <w:r w:rsidR="006E380F">
        <w:rPr>
          <w:rFonts w:asciiTheme="minorHAnsi" w:hAnsiTheme="minorHAnsi"/>
          <w:sz w:val="20"/>
          <w:szCs w:val="20"/>
        </w:rPr>
        <w:t>2</w:t>
      </w:r>
      <w:r w:rsidR="00554A1B">
        <w:rPr>
          <w:rFonts w:asciiTheme="minorHAnsi" w:hAnsiTheme="minorHAnsi"/>
          <w:sz w:val="20"/>
          <w:szCs w:val="20"/>
        </w:rPr>
        <w:t>4</w:t>
      </w:r>
      <w:r w:rsidR="00DB0C0A">
        <w:rPr>
          <w:rFonts w:asciiTheme="minorHAnsi" w:hAnsiTheme="minorHAnsi"/>
          <w:sz w:val="20"/>
          <w:szCs w:val="20"/>
        </w:rPr>
        <w:t>9</w:t>
      </w:r>
      <w:r w:rsidR="00764B9E">
        <w:rPr>
          <w:rFonts w:asciiTheme="minorHAnsi" w:hAnsiTheme="minorHAnsi"/>
          <w:sz w:val="20"/>
          <w:szCs w:val="20"/>
        </w:rPr>
        <w:t xml:space="preserve">/2020. </w:t>
      </w:r>
    </w:p>
    <w:p w:rsidR="00764B9E" w:rsidRDefault="00764B9E" w:rsidP="00CB445F">
      <w:pPr>
        <w:rPr>
          <w:rFonts w:asciiTheme="minorHAnsi" w:hAnsiTheme="minorHAnsi"/>
          <w:szCs w:val="24"/>
        </w:rPr>
      </w:pPr>
    </w:p>
    <w:p w:rsidR="00283188" w:rsidRPr="00283188" w:rsidRDefault="00283188" w:rsidP="00283188">
      <w:pPr>
        <w:jc w:val="center"/>
        <w:rPr>
          <w:rFonts w:asciiTheme="minorHAnsi" w:hAnsiTheme="minorHAnsi"/>
          <w:b/>
          <w:szCs w:val="24"/>
        </w:rPr>
      </w:pPr>
      <w:r w:rsidRPr="00283188">
        <w:rPr>
          <w:rFonts w:asciiTheme="minorHAnsi" w:hAnsiTheme="minorHAnsi"/>
          <w:b/>
          <w:szCs w:val="24"/>
        </w:rPr>
        <w:t xml:space="preserve">URED PREDSJEDNIKA REPUBLIKE HRVATSKE OBJAVLJUJE DOKUMENTE KOJI DEMANTIRAJU MINISTRA OBRANE </w:t>
      </w:r>
    </w:p>
    <w:p w:rsidR="00CD46C8" w:rsidRPr="00CD46C8" w:rsidRDefault="00CD46C8" w:rsidP="00CD46C8">
      <w:pPr>
        <w:rPr>
          <w:rFonts w:asciiTheme="minorHAnsi" w:hAnsiTheme="minorHAnsi"/>
          <w:szCs w:val="24"/>
        </w:rPr>
      </w:pPr>
    </w:p>
    <w:p w:rsidR="00DB0C0A" w:rsidRPr="00DB0C0A" w:rsidRDefault="00DB0C0A" w:rsidP="00DB0C0A">
      <w:pPr>
        <w:jc w:val="both"/>
        <w:rPr>
          <w:rFonts w:asciiTheme="minorHAnsi" w:hAnsiTheme="minorHAnsi"/>
          <w:szCs w:val="24"/>
        </w:rPr>
      </w:pPr>
      <w:r w:rsidRPr="00DB0C0A">
        <w:rPr>
          <w:rFonts w:asciiTheme="minorHAnsi" w:hAnsiTheme="minorHAnsi"/>
          <w:szCs w:val="24"/>
        </w:rPr>
        <w:t>Ured za odnose s javnošću ministarstva obrane, para političko tijelo</w:t>
      </w:r>
      <w:r>
        <w:rPr>
          <w:rFonts w:asciiTheme="minorHAnsi" w:hAnsiTheme="minorHAnsi"/>
          <w:szCs w:val="24"/>
        </w:rPr>
        <w:t xml:space="preserve"> koje ne treba poistovjećivati </w:t>
      </w:r>
      <w:r w:rsidRPr="00DB0C0A">
        <w:rPr>
          <w:rFonts w:asciiTheme="minorHAnsi" w:hAnsiTheme="minorHAnsi"/>
          <w:szCs w:val="24"/>
        </w:rPr>
        <w:t>s ministarstvom, a posebice ne s Glavnim stožerom i čiji zadatak je da politički op</w:t>
      </w:r>
      <w:r>
        <w:rPr>
          <w:rFonts w:asciiTheme="minorHAnsi" w:hAnsiTheme="minorHAnsi"/>
          <w:szCs w:val="24"/>
        </w:rPr>
        <w:t xml:space="preserve">služuje svoju stranačku vrhušku </w:t>
      </w:r>
      <w:r w:rsidRPr="00DB0C0A">
        <w:rPr>
          <w:rFonts w:asciiTheme="minorHAnsi" w:hAnsiTheme="minorHAnsi"/>
          <w:szCs w:val="24"/>
        </w:rPr>
        <w:t>u priopćenju od 31. listopada opet nije objasnilo zašto Ured Predsjednika Republike nikada nije ni obaviješten niti uključen u pripremu provedbe Odluke o obilježavanju blagdana Svih svetih i Dušnog dana, a kojom je bilo predviđeno zajedničko polaganje vijenca predsjednika Republike, Vlade i Hrvat</w:t>
      </w:r>
      <w:r>
        <w:rPr>
          <w:rFonts w:asciiTheme="minorHAnsi" w:hAnsiTheme="minorHAnsi"/>
          <w:szCs w:val="24"/>
        </w:rPr>
        <w:t xml:space="preserve">skog sabora. Ne </w:t>
      </w:r>
      <w:r w:rsidRPr="00DB0C0A">
        <w:rPr>
          <w:rFonts w:asciiTheme="minorHAnsi" w:hAnsiTheme="minorHAnsi"/>
          <w:szCs w:val="24"/>
        </w:rPr>
        <w:t>objašnjavaju niti svoju (isključivu) ulogu u pripremi Programa obilježavanja blagdana Svih Svetih i Dušnog dana 30. listopada i 2. studenoga 2020. Ključne informacije prešućuju pa ćemo još jednom ministru obrane osvježiti memoriju.</w:t>
      </w:r>
    </w:p>
    <w:p w:rsidR="00DB0C0A" w:rsidRPr="00DB0C0A" w:rsidRDefault="00DB0C0A" w:rsidP="00DB0C0A">
      <w:pPr>
        <w:jc w:val="both"/>
        <w:rPr>
          <w:rFonts w:asciiTheme="minorHAnsi" w:hAnsiTheme="minorHAnsi"/>
          <w:szCs w:val="24"/>
        </w:rPr>
      </w:pPr>
    </w:p>
    <w:p w:rsidR="00DB0C0A" w:rsidRPr="00DB0C0A" w:rsidRDefault="00DB0C0A" w:rsidP="00DB0C0A">
      <w:pPr>
        <w:jc w:val="both"/>
        <w:rPr>
          <w:rFonts w:asciiTheme="minorHAnsi" w:hAnsiTheme="minorHAnsi"/>
          <w:szCs w:val="24"/>
        </w:rPr>
      </w:pPr>
      <w:r w:rsidRPr="00DB0C0A">
        <w:rPr>
          <w:rFonts w:asciiTheme="minorHAnsi" w:hAnsiTheme="minorHAnsi"/>
          <w:szCs w:val="24"/>
        </w:rPr>
        <w:t xml:space="preserve">Kako ne bi ostalo dvojbi, Ured PRH objavljuje tri dokumenta: „Odluku o obilježavanju blagdana Svih svetih i Dušnog dana“ koju je 23. listopada potpisao ministar obrane; Zapovijed koju je (temeljem te Odluke) 28. listopada donio načelnik Glavnog stožera OSRH admiral Robert </w:t>
      </w:r>
      <w:proofErr w:type="spellStart"/>
      <w:r w:rsidRPr="00DB0C0A">
        <w:rPr>
          <w:rFonts w:asciiTheme="minorHAnsi" w:hAnsiTheme="minorHAnsi"/>
          <w:szCs w:val="24"/>
        </w:rPr>
        <w:t>Hranj</w:t>
      </w:r>
      <w:proofErr w:type="spellEnd"/>
      <w:r w:rsidRPr="00DB0C0A">
        <w:rPr>
          <w:rFonts w:asciiTheme="minorHAnsi" w:hAnsiTheme="minorHAnsi"/>
          <w:szCs w:val="24"/>
        </w:rPr>
        <w:t>; te „Program obilježavanja blagdana Svih Svetih i Dušnog dana 30. listopada i 2. studenoga 2020.“ a koji je pripremio Samostalni odjel za protokol Ministarstva obrane.</w:t>
      </w:r>
      <w:r>
        <w:rPr>
          <w:rFonts w:asciiTheme="minorHAnsi" w:hAnsiTheme="minorHAnsi"/>
          <w:szCs w:val="24"/>
        </w:rPr>
        <w:t xml:space="preserve"> </w:t>
      </w:r>
    </w:p>
    <w:p w:rsidR="00DB0C0A" w:rsidRPr="00DB0C0A" w:rsidRDefault="00DB0C0A" w:rsidP="00DB0C0A">
      <w:pPr>
        <w:jc w:val="both"/>
        <w:rPr>
          <w:rFonts w:asciiTheme="minorHAnsi" w:hAnsiTheme="minorHAnsi"/>
          <w:szCs w:val="24"/>
        </w:rPr>
      </w:pPr>
    </w:p>
    <w:p w:rsidR="00DB0C0A" w:rsidRDefault="00DB0C0A" w:rsidP="00DB0C0A">
      <w:pPr>
        <w:jc w:val="both"/>
        <w:rPr>
          <w:rFonts w:asciiTheme="minorHAnsi" w:hAnsiTheme="minorHAnsi"/>
          <w:szCs w:val="24"/>
        </w:rPr>
      </w:pPr>
      <w:r w:rsidRPr="00DB0C0A">
        <w:rPr>
          <w:rFonts w:asciiTheme="minorHAnsi" w:hAnsiTheme="minorHAnsi"/>
          <w:szCs w:val="24"/>
        </w:rPr>
        <w:t>Najprije o ministrovoj odluci. U Odluci o obilježavanju blagdana Svih svetih i Dušnog dana u točci 3. jasno piše da će se „svečano polaganje vijenaca i paljenje svijeća uskladiti prema protokolima Predsjednika Republike, Hrvatskog sabora i Vlade RH“. Jasno je, dakle, da se predviđa zajedničko polaganje vijenaca. U istoj točci piše i ovo: „Program polaganja vijenaca izradit će Samostalni odjel za protokol Ministarstva obrane u suradnji s protokolima Predsjednika RH, Hrvatskog sabora i Vlade RH“ a „za provedbu ove točke odluke odgovoran je Glavni stožer OSRH i Samostalni odjel za protokol Ministarstva obrane“. Jasno je, opet, tko je zadužen za pripremu programa. Zadužen je MORH, g. ministre, vašom odlukom.</w:t>
      </w:r>
      <w:r>
        <w:rPr>
          <w:rFonts w:asciiTheme="minorHAnsi" w:hAnsiTheme="minorHAnsi"/>
          <w:szCs w:val="24"/>
        </w:rPr>
        <w:t xml:space="preserve"> </w:t>
      </w:r>
    </w:p>
    <w:p w:rsidR="00DB0C0A" w:rsidRDefault="00123C23" w:rsidP="00DB0C0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eastAsia="hr-HR"/>
        </w:rPr>
        <w:lastRenderedPageBreak/>
        <w:drawing>
          <wp:inline distT="0" distB="0" distL="0" distR="0">
            <wp:extent cx="5760720" cy="2277745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luka točka 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0A" w:rsidRDefault="00DB0C0A" w:rsidP="00DB0C0A">
      <w:pPr>
        <w:jc w:val="both"/>
        <w:rPr>
          <w:rFonts w:asciiTheme="minorHAnsi" w:hAnsiTheme="minorHAnsi"/>
          <w:szCs w:val="24"/>
        </w:rPr>
      </w:pPr>
    </w:p>
    <w:p w:rsidR="00DB0C0A" w:rsidRPr="00DB0C0A" w:rsidRDefault="00123C23" w:rsidP="00DB0C0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eastAsia="hr-HR"/>
        </w:rPr>
        <w:drawing>
          <wp:inline distT="0" distB="0" distL="0" distR="0">
            <wp:extent cx="5760720" cy="11430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govornost odluk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0A" w:rsidRPr="00DB0C0A" w:rsidRDefault="00DB0C0A" w:rsidP="00DB0C0A">
      <w:pPr>
        <w:jc w:val="both"/>
        <w:rPr>
          <w:rFonts w:asciiTheme="minorHAnsi" w:hAnsiTheme="minorHAnsi"/>
          <w:szCs w:val="24"/>
        </w:rPr>
      </w:pPr>
    </w:p>
    <w:p w:rsidR="00DB0C0A" w:rsidRPr="00DB0C0A" w:rsidRDefault="00DB0C0A" w:rsidP="00DB0C0A">
      <w:pPr>
        <w:jc w:val="both"/>
        <w:rPr>
          <w:rFonts w:asciiTheme="minorHAnsi" w:hAnsiTheme="minorHAnsi"/>
          <w:szCs w:val="24"/>
        </w:rPr>
      </w:pPr>
      <w:r w:rsidRPr="00DB0C0A">
        <w:rPr>
          <w:rFonts w:asciiTheme="minorHAnsi" w:hAnsiTheme="minorHAnsi"/>
          <w:szCs w:val="24"/>
        </w:rPr>
        <w:t>Iako smo već rekli, ali ponovimo: Odluka ministra obrane nikada nije dostavljena Uredu PRH, nitko nije obavijestio Ured PRH o programu svečanog polaganja vijenaca, nitko nije pozvao Ured PRH na usklađivanje protokola.</w:t>
      </w:r>
    </w:p>
    <w:p w:rsidR="00DB0C0A" w:rsidRPr="00DB0C0A" w:rsidRDefault="00DB0C0A" w:rsidP="00DB0C0A">
      <w:pPr>
        <w:jc w:val="both"/>
        <w:rPr>
          <w:rFonts w:asciiTheme="minorHAnsi" w:hAnsiTheme="minorHAnsi"/>
          <w:szCs w:val="24"/>
        </w:rPr>
      </w:pPr>
    </w:p>
    <w:p w:rsidR="00302F0A" w:rsidRDefault="00DB0C0A" w:rsidP="00DB0C0A">
      <w:pPr>
        <w:jc w:val="both"/>
        <w:rPr>
          <w:rFonts w:asciiTheme="minorHAnsi" w:hAnsiTheme="minorHAnsi"/>
          <w:szCs w:val="24"/>
        </w:rPr>
      </w:pPr>
      <w:r w:rsidRPr="00DB0C0A">
        <w:rPr>
          <w:rFonts w:asciiTheme="minorHAnsi" w:hAnsiTheme="minorHAnsi"/>
          <w:szCs w:val="24"/>
        </w:rPr>
        <w:t xml:space="preserve">Na temelju odluke ministra obrane i programa MORH-a, načelnik Glavnog stožera OSRH admiral Robert </w:t>
      </w:r>
      <w:proofErr w:type="spellStart"/>
      <w:r w:rsidRPr="00DB0C0A">
        <w:rPr>
          <w:rFonts w:asciiTheme="minorHAnsi" w:hAnsiTheme="minorHAnsi"/>
          <w:szCs w:val="24"/>
        </w:rPr>
        <w:t>Hranj</w:t>
      </w:r>
      <w:proofErr w:type="spellEnd"/>
      <w:r w:rsidRPr="00DB0C0A">
        <w:rPr>
          <w:rFonts w:asciiTheme="minorHAnsi" w:hAnsiTheme="minorHAnsi"/>
          <w:szCs w:val="24"/>
        </w:rPr>
        <w:t xml:space="preserve"> donio je zapovijed 28. listopada. </w:t>
      </w:r>
    </w:p>
    <w:p w:rsidR="00302F0A" w:rsidRDefault="00302F0A" w:rsidP="00DB0C0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eastAsia="hr-HR"/>
        </w:rPr>
        <w:drawing>
          <wp:inline distT="0" distB="0" distL="0" distR="0">
            <wp:extent cx="5760720" cy="282130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Zapovije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F0A" w:rsidRDefault="00DB0C0A" w:rsidP="00DB0C0A">
      <w:pPr>
        <w:jc w:val="both"/>
        <w:rPr>
          <w:rFonts w:asciiTheme="minorHAnsi" w:hAnsiTheme="minorHAnsi"/>
          <w:szCs w:val="24"/>
        </w:rPr>
      </w:pPr>
      <w:r w:rsidRPr="00DB0C0A">
        <w:rPr>
          <w:rFonts w:asciiTheme="minorHAnsi" w:hAnsiTheme="minorHAnsi"/>
          <w:szCs w:val="24"/>
        </w:rPr>
        <w:t>U njegovoj zapovijedi, između ostalog, stoji: „Svečano polaganje vijenaca i paljenje svijeća Predsjednika RH i vrhovnog zapovjednika OS RH, Hrvatskog sabora i Vlade RH bit će 30. listopada 2020. s početkom u 11:00 sati“.</w:t>
      </w:r>
      <w:r w:rsidR="00302F0A">
        <w:rPr>
          <w:rFonts w:asciiTheme="minorHAnsi" w:hAnsiTheme="minorHAnsi"/>
          <w:szCs w:val="24"/>
        </w:rPr>
        <w:t xml:space="preserve"> </w:t>
      </w:r>
    </w:p>
    <w:p w:rsidR="00302F0A" w:rsidRDefault="00302F0A" w:rsidP="00DB0C0A">
      <w:pPr>
        <w:jc w:val="both"/>
        <w:rPr>
          <w:rFonts w:asciiTheme="minorHAnsi" w:hAnsiTheme="minorHAnsi"/>
          <w:szCs w:val="24"/>
        </w:rPr>
      </w:pPr>
    </w:p>
    <w:p w:rsidR="00302F0A" w:rsidRDefault="00302F0A" w:rsidP="00DB0C0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eastAsia="hr-HR"/>
        </w:rPr>
        <w:lastRenderedPageBreak/>
        <w:drawing>
          <wp:inline distT="0" distB="0" distL="0" distR="0">
            <wp:extent cx="5760720" cy="171640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Zapovjed termin polaganja vijenac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F0A" w:rsidRDefault="00302F0A" w:rsidP="00DB0C0A">
      <w:pPr>
        <w:jc w:val="both"/>
        <w:rPr>
          <w:rFonts w:asciiTheme="minorHAnsi" w:hAnsiTheme="minorHAnsi"/>
          <w:szCs w:val="24"/>
        </w:rPr>
      </w:pPr>
    </w:p>
    <w:p w:rsidR="00DB0C0A" w:rsidRDefault="00DB0C0A" w:rsidP="00DB0C0A">
      <w:pPr>
        <w:jc w:val="both"/>
        <w:rPr>
          <w:rFonts w:asciiTheme="minorHAnsi" w:hAnsiTheme="minorHAnsi"/>
          <w:szCs w:val="24"/>
        </w:rPr>
      </w:pPr>
      <w:r w:rsidRPr="00DB0C0A">
        <w:rPr>
          <w:rFonts w:asciiTheme="minorHAnsi" w:hAnsiTheme="minorHAnsi"/>
          <w:szCs w:val="24"/>
        </w:rPr>
        <w:t xml:space="preserve">U prilogu zapovijedi je – A TO JE POSEBNO VAŽNO ISTAKNUTI - i „Program obilježavanja blagdana Svih Svetih i Dušnog dana 30. listopada i 2. studenoga 2020.“ koji je pripremio Samostalni odjel za protokol Ministarstva obrane - produljena ruka ministra obrane. Program je to kojega je načelnik GS OSRH dobio iz MORH-a, prema uvijek istoj proceduri. Isti onaj Program kojega je valjda trebao dobiti i Ured PRH, ali ga nikada dobio nije, štoviše, trebalo ga je uskladiti s Uredom PRH, ali nije. A tko to nije učinio, a morao je? MORH. </w:t>
      </w:r>
    </w:p>
    <w:p w:rsidR="00302F0A" w:rsidRDefault="00302F0A" w:rsidP="00DB0C0A">
      <w:pPr>
        <w:jc w:val="both"/>
        <w:rPr>
          <w:rFonts w:asciiTheme="minorHAnsi" w:hAnsiTheme="minorHAnsi"/>
          <w:szCs w:val="24"/>
        </w:rPr>
      </w:pPr>
    </w:p>
    <w:p w:rsidR="00302F0A" w:rsidRDefault="00302F0A" w:rsidP="00DB0C0A">
      <w:pPr>
        <w:jc w:val="both"/>
        <w:rPr>
          <w:rFonts w:asciiTheme="minorHAnsi" w:hAnsiTheme="minorHAnsi"/>
          <w:szCs w:val="24"/>
        </w:rPr>
      </w:pPr>
    </w:p>
    <w:p w:rsidR="00DB0C0A" w:rsidRDefault="00DB0C0A" w:rsidP="00DB0C0A">
      <w:pPr>
        <w:jc w:val="both"/>
        <w:rPr>
          <w:rFonts w:asciiTheme="minorHAnsi" w:hAnsiTheme="minorHAnsi"/>
          <w:szCs w:val="24"/>
        </w:rPr>
      </w:pPr>
    </w:p>
    <w:p w:rsidR="00DB0C0A" w:rsidRPr="00DB0C0A" w:rsidRDefault="00302F0A" w:rsidP="00DB0C0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eastAsia="hr-HR"/>
        </w:rPr>
        <w:drawing>
          <wp:inline distT="0" distB="0" distL="0" distR="0">
            <wp:extent cx="5760720" cy="2467610"/>
            <wp:effectExtent l="0" t="0" r="0" b="889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OGRA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0A" w:rsidRPr="00DB0C0A" w:rsidRDefault="00302F0A" w:rsidP="00DB0C0A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eastAsia="hr-HR"/>
        </w:rPr>
        <w:lastRenderedPageBreak/>
        <w:drawing>
          <wp:inline distT="0" distB="0" distL="0" distR="0">
            <wp:extent cx="5760720" cy="42164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Zajedničko polaganje vijenaca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F0A" w:rsidRDefault="00302F0A" w:rsidP="00DB0C0A">
      <w:pPr>
        <w:jc w:val="both"/>
        <w:rPr>
          <w:rFonts w:asciiTheme="minorHAnsi" w:hAnsiTheme="minorHAnsi"/>
          <w:szCs w:val="24"/>
        </w:rPr>
      </w:pPr>
    </w:p>
    <w:p w:rsidR="00DB0C0A" w:rsidRDefault="00DB0C0A" w:rsidP="00DB0C0A">
      <w:pPr>
        <w:jc w:val="both"/>
        <w:rPr>
          <w:rFonts w:asciiTheme="minorHAnsi" w:hAnsiTheme="minorHAnsi"/>
          <w:szCs w:val="24"/>
        </w:rPr>
      </w:pPr>
      <w:r w:rsidRPr="00DB0C0A">
        <w:rPr>
          <w:rFonts w:asciiTheme="minorHAnsi" w:hAnsiTheme="minorHAnsi"/>
          <w:szCs w:val="24"/>
        </w:rPr>
        <w:t xml:space="preserve">Dovoljan je pogled na priloženi „Program obilježavanja blagdana Svih Svetih i Dušnog dana 30. listopada i 2. studenoga 2020.“ Samostalne službe  za protokol </w:t>
      </w:r>
      <w:proofErr w:type="spellStart"/>
      <w:r w:rsidRPr="00DB0C0A">
        <w:rPr>
          <w:rFonts w:asciiTheme="minorHAnsi" w:hAnsiTheme="minorHAnsi"/>
          <w:szCs w:val="24"/>
        </w:rPr>
        <w:t>MORHa</w:t>
      </w:r>
      <w:proofErr w:type="spellEnd"/>
      <w:r w:rsidRPr="00DB0C0A">
        <w:rPr>
          <w:rFonts w:asciiTheme="minorHAnsi" w:hAnsiTheme="minorHAnsi"/>
          <w:szCs w:val="24"/>
        </w:rPr>
        <w:t xml:space="preserve"> (tj.  ministra obrane) stoji: „zajedničko polaganje vijenaca predsjednika Republike, Hrvatskog sabora i Vlade RH predviđa se za 30. listopada, u 11 sati“. Istina, napomenuto je kako se samo još satnica mora uskladiti s protokolima PRH, Hrvatskog sabora i Vlade. Ali, kao što ni sam program nikada nije dostavljen Uredu PRH, tako se ni o satnici nikada nije upitalo Ured PRH.</w:t>
      </w:r>
      <w:r w:rsidR="001946E1">
        <w:rPr>
          <w:rFonts w:asciiTheme="minorHAnsi" w:hAnsiTheme="minorHAnsi"/>
          <w:szCs w:val="24"/>
        </w:rPr>
        <w:t xml:space="preserve"> </w:t>
      </w:r>
    </w:p>
    <w:p w:rsidR="00302F0A" w:rsidRDefault="00302F0A" w:rsidP="00DB0C0A">
      <w:pPr>
        <w:jc w:val="both"/>
        <w:rPr>
          <w:rFonts w:asciiTheme="minorHAnsi" w:hAnsiTheme="minorHAnsi"/>
          <w:szCs w:val="24"/>
        </w:rPr>
      </w:pPr>
    </w:p>
    <w:p w:rsidR="00DB0C0A" w:rsidRDefault="00DB0C0A" w:rsidP="00DB0C0A">
      <w:pPr>
        <w:jc w:val="both"/>
        <w:rPr>
          <w:rFonts w:asciiTheme="minorHAnsi" w:hAnsiTheme="minorHAnsi"/>
          <w:szCs w:val="24"/>
        </w:rPr>
      </w:pPr>
      <w:r w:rsidRPr="00DB0C0A">
        <w:rPr>
          <w:rFonts w:asciiTheme="minorHAnsi" w:hAnsiTheme="minorHAnsi"/>
          <w:szCs w:val="24"/>
        </w:rPr>
        <w:t xml:space="preserve">Jedino što je točno u zadnjem priopćenju MORH-a jest tvrdnja kako se u ministrovoj Odluci o obilježavanju blagdana Svih svetih i Dušnog dana ne navodi ni točan datum niti vrijeme polaganja vijenaca i paljenja svijeća Predsjednika Republike, Hrvatskoga Sabora i Vlade RH. Ali, Ured PRH to nikada nije ni rekao. Rekli smo da se datum i vrijeme zajedničkog polaganja vijenaca – 30. listopada u 11 sati - nalaze  u programu koji je pripremio MORH, točnije Samostalna služba za protokol Ministarstva obrane. I da sada dodamo još važnije: s istim Programom upoznat je i ministar </w:t>
      </w:r>
      <w:proofErr w:type="spellStart"/>
      <w:r w:rsidRPr="00DB0C0A">
        <w:rPr>
          <w:rFonts w:asciiTheme="minorHAnsi" w:hAnsiTheme="minorHAnsi"/>
          <w:szCs w:val="24"/>
        </w:rPr>
        <w:t>Banožić</w:t>
      </w:r>
      <w:proofErr w:type="spellEnd"/>
      <w:r w:rsidRPr="00DB0C0A">
        <w:rPr>
          <w:rFonts w:asciiTheme="minorHAnsi" w:hAnsiTheme="minorHAnsi"/>
          <w:szCs w:val="24"/>
        </w:rPr>
        <w:t xml:space="preserve"> osobno, jer mu je dostavljen skupa s već spomenutom zapovijedi načelnika GS OSRH.</w:t>
      </w:r>
    </w:p>
    <w:p w:rsidR="007C23C5" w:rsidRPr="00DB0C0A" w:rsidRDefault="007C23C5" w:rsidP="00DB0C0A">
      <w:pPr>
        <w:jc w:val="both"/>
        <w:rPr>
          <w:rFonts w:asciiTheme="minorHAnsi" w:hAnsiTheme="minorHAnsi"/>
          <w:szCs w:val="24"/>
        </w:rPr>
      </w:pPr>
    </w:p>
    <w:p w:rsidR="00302F0A" w:rsidRDefault="00DB0C0A" w:rsidP="00DB0C0A">
      <w:pPr>
        <w:jc w:val="both"/>
        <w:rPr>
          <w:rFonts w:asciiTheme="minorHAnsi" w:hAnsiTheme="minorHAnsi"/>
          <w:szCs w:val="24"/>
        </w:rPr>
      </w:pPr>
      <w:r w:rsidRPr="00DB0C0A">
        <w:rPr>
          <w:rFonts w:asciiTheme="minorHAnsi" w:hAnsiTheme="minorHAnsi"/>
          <w:szCs w:val="24"/>
        </w:rPr>
        <w:t xml:space="preserve">Iz svega neprijeporno proizlazi kako je ministar obrane znao da se priprema zajedničko obilježavanje blagdana Svih svetih 30. listopada (vidio je to u programu MORH-a koji je ‘samostalno’ priredila  njegova služba za protokol i znao je da se za tu svrhu angažira Počasno zaštitna bojna (vidio je to iz zapovijedi načelnika GS OSRH). </w:t>
      </w:r>
    </w:p>
    <w:p w:rsidR="00DB0C0A" w:rsidRPr="00252DA0" w:rsidRDefault="00DB0C0A" w:rsidP="00DB0C0A">
      <w:pPr>
        <w:jc w:val="both"/>
        <w:rPr>
          <w:rFonts w:asciiTheme="minorHAnsi" w:hAnsiTheme="minorHAnsi"/>
          <w:b/>
          <w:szCs w:val="24"/>
        </w:rPr>
      </w:pPr>
      <w:r w:rsidRPr="00252DA0">
        <w:rPr>
          <w:rFonts w:asciiTheme="minorHAnsi" w:hAnsiTheme="minorHAnsi"/>
          <w:b/>
          <w:szCs w:val="24"/>
        </w:rPr>
        <w:lastRenderedPageBreak/>
        <w:t xml:space="preserve">Ali očito nije znao da njegov stranački gazda i predsjednik Vlade planira prekinuti uljuđenu tradiciju zajedničkog polaganja vijenaca u </w:t>
      </w:r>
      <w:bookmarkStart w:id="0" w:name="_GoBack"/>
      <w:bookmarkEnd w:id="0"/>
      <w:r w:rsidRPr="00252DA0">
        <w:rPr>
          <w:rFonts w:asciiTheme="minorHAnsi" w:hAnsiTheme="minorHAnsi"/>
          <w:b/>
          <w:szCs w:val="24"/>
        </w:rPr>
        <w:t>prigodi državnih blagdana. A kada je i to doznao, morao se javno izložiti, pa makar govoreći neistine.</w:t>
      </w:r>
    </w:p>
    <w:p w:rsidR="008F021E" w:rsidRPr="00DB0C0A" w:rsidRDefault="008F021E" w:rsidP="00DB0C0A">
      <w:pPr>
        <w:jc w:val="both"/>
        <w:rPr>
          <w:rFonts w:asciiTheme="minorHAnsi" w:hAnsiTheme="minorHAnsi"/>
          <w:szCs w:val="24"/>
        </w:rPr>
      </w:pPr>
    </w:p>
    <w:p w:rsidR="00D13168" w:rsidRDefault="00DB0C0A" w:rsidP="00DB0C0A">
      <w:pPr>
        <w:jc w:val="both"/>
        <w:rPr>
          <w:rFonts w:asciiTheme="minorHAnsi" w:hAnsiTheme="minorHAnsi"/>
          <w:szCs w:val="24"/>
        </w:rPr>
      </w:pPr>
      <w:r w:rsidRPr="00DB0C0A">
        <w:rPr>
          <w:rFonts w:asciiTheme="minorHAnsi" w:hAnsiTheme="minorHAnsi"/>
          <w:szCs w:val="24"/>
        </w:rPr>
        <w:t>One koji žele znati više, pozivamo da pročitaju izvorne dokume</w:t>
      </w:r>
      <w:r w:rsidR="00F96CFD">
        <w:rPr>
          <w:rFonts w:asciiTheme="minorHAnsi" w:hAnsiTheme="minorHAnsi"/>
          <w:szCs w:val="24"/>
        </w:rPr>
        <w:t>nte:</w:t>
      </w:r>
    </w:p>
    <w:p w:rsidR="00B26761" w:rsidRDefault="00B26761" w:rsidP="00DB0C0A">
      <w:pPr>
        <w:jc w:val="both"/>
        <w:rPr>
          <w:rFonts w:asciiTheme="minorHAnsi" w:hAnsiTheme="minorHAnsi"/>
          <w:szCs w:val="24"/>
        </w:rPr>
      </w:pPr>
    </w:p>
    <w:p w:rsidR="00037C51" w:rsidRDefault="00F96CFD" w:rsidP="00A90664">
      <w:pPr>
        <w:rPr>
          <w:rFonts w:asciiTheme="minorHAnsi" w:hAnsiTheme="minorHAnsi"/>
          <w:szCs w:val="24"/>
        </w:rPr>
      </w:pPr>
      <w:r w:rsidRPr="00F96CFD">
        <w:rPr>
          <w:rFonts w:asciiTheme="minorHAnsi" w:hAnsiTheme="minorHAnsi"/>
          <w:szCs w:val="24"/>
        </w:rPr>
        <w:t xml:space="preserve">Link na vijest na webu - </w:t>
      </w:r>
      <w:hyperlink r:id="rId14" w:history="1">
        <w:r w:rsidRPr="000A2F5A">
          <w:rPr>
            <w:rStyle w:val="Hyperlink"/>
            <w:rFonts w:asciiTheme="minorHAnsi" w:hAnsiTheme="minorHAnsi"/>
            <w:szCs w:val="24"/>
          </w:rPr>
          <w:t>https://www.predsjednik.hr/vijesti/ured-predsjednika-republike-objavljuje-dokumente-koji-demantiraju-ministra-obrane/</w:t>
        </w:r>
      </w:hyperlink>
    </w:p>
    <w:p w:rsidR="00F96CFD" w:rsidRDefault="00F96CFD" w:rsidP="00A90664">
      <w:pPr>
        <w:rPr>
          <w:rFonts w:asciiTheme="minorHAnsi" w:hAnsiTheme="minorHAnsi"/>
          <w:szCs w:val="24"/>
        </w:rPr>
      </w:pPr>
    </w:p>
    <w:p w:rsidR="00F96CFD" w:rsidRDefault="00F96CFD" w:rsidP="00A9066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</w:t>
      </w:r>
      <w:r w:rsidRPr="00F96CFD">
        <w:rPr>
          <w:rFonts w:asciiTheme="minorHAnsi" w:hAnsiTheme="minorHAnsi"/>
          <w:szCs w:val="24"/>
        </w:rPr>
        <w:t xml:space="preserve">ink na Odluku ministra obrane </w:t>
      </w:r>
      <w:hyperlink r:id="rId15" w:history="1">
        <w:r w:rsidRPr="000A2F5A">
          <w:rPr>
            <w:rStyle w:val="Hyperlink"/>
            <w:rFonts w:asciiTheme="minorHAnsi" w:hAnsiTheme="minorHAnsi"/>
            <w:szCs w:val="24"/>
          </w:rPr>
          <w:t>https://www.predsjednik.hr/wp-content/uploads/2020/11/ODLUKA-MINISTRA-OBRANE-O-OBILJEZAVANJU-BLAGDANA-SVIH-SVETIH-I-DUSNOG-DANA.pdf</w:t>
        </w:r>
      </w:hyperlink>
      <w:r>
        <w:rPr>
          <w:rFonts w:asciiTheme="minorHAnsi" w:hAnsiTheme="minorHAnsi"/>
          <w:szCs w:val="24"/>
        </w:rPr>
        <w:t xml:space="preserve"> </w:t>
      </w:r>
    </w:p>
    <w:p w:rsidR="00F96CFD" w:rsidRDefault="00F96CFD" w:rsidP="00A90664">
      <w:pPr>
        <w:rPr>
          <w:rFonts w:asciiTheme="minorHAnsi" w:hAnsiTheme="minorHAnsi"/>
          <w:szCs w:val="24"/>
        </w:rPr>
      </w:pPr>
    </w:p>
    <w:p w:rsidR="00F96CFD" w:rsidRDefault="00F96CFD" w:rsidP="00A90664">
      <w:pPr>
        <w:rPr>
          <w:rFonts w:asciiTheme="minorHAnsi" w:hAnsiTheme="minorHAnsi"/>
          <w:szCs w:val="24"/>
        </w:rPr>
      </w:pPr>
      <w:r w:rsidRPr="00F96CFD">
        <w:rPr>
          <w:rFonts w:asciiTheme="minorHAnsi" w:hAnsiTheme="minorHAnsi"/>
          <w:szCs w:val="24"/>
        </w:rPr>
        <w:t xml:space="preserve">Link na Zapovijed Načelnika Gl. stožer i Program - </w:t>
      </w:r>
      <w:hyperlink r:id="rId16" w:history="1">
        <w:r w:rsidRPr="000A2F5A">
          <w:rPr>
            <w:rStyle w:val="Hyperlink"/>
            <w:rFonts w:asciiTheme="minorHAnsi" w:hAnsiTheme="minorHAnsi"/>
            <w:szCs w:val="24"/>
          </w:rPr>
          <w:t>https://www.predsjednik.hr/wp-content/uploads/2020/11/ZAPOVIJED-GL.-STOZERA-I-PROGRAM-OBILJEZAVANJA-BLAGDANA-SVIH-SVETIH-I-DUSNOG-DANA.pdf</w:t>
        </w:r>
      </w:hyperlink>
    </w:p>
    <w:p w:rsidR="00F96CFD" w:rsidRDefault="00F96CFD" w:rsidP="00A90664">
      <w:pPr>
        <w:rPr>
          <w:rFonts w:asciiTheme="minorHAnsi" w:hAnsiTheme="minorHAnsi"/>
          <w:szCs w:val="24"/>
        </w:rPr>
      </w:pPr>
    </w:p>
    <w:p w:rsidR="00F96CFD" w:rsidRDefault="00F96CFD" w:rsidP="00A90664">
      <w:pPr>
        <w:rPr>
          <w:rFonts w:asciiTheme="minorHAnsi" w:hAnsiTheme="minorHAnsi"/>
          <w:szCs w:val="24"/>
        </w:rPr>
      </w:pPr>
    </w:p>
    <w:p w:rsidR="00F96CFD" w:rsidRDefault="00F96CFD" w:rsidP="00A90664">
      <w:pPr>
        <w:rPr>
          <w:rFonts w:asciiTheme="minorHAnsi" w:hAnsiTheme="minorHAnsi"/>
          <w:szCs w:val="24"/>
        </w:rPr>
      </w:pPr>
    </w:p>
    <w:p w:rsidR="00037C51" w:rsidRDefault="00037C51" w:rsidP="00037C51">
      <w:pPr>
        <w:ind w:left="4956" w:firstLine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GLASNOGOVORNIK</w:t>
      </w:r>
    </w:p>
    <w:p w:rsidR="009020C4" w:rsidRPr="009020C4" w:rsidRDefault="00037C51" w:rsidP="00B32DBA">
      <w:pPr>
        <w:ind w:left="566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    Nikola Jelić</w:t>
      </w:r>
    </w:p>
    <w:sectPr w:rsidR="009020C4" w:rsidRPr="009020C4" w:rsidSect="00520EE9"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567" w:right="1417" w:bottom="56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6F" w:rsidRDefault="00FF596F" w:rsidP="00A91531">
      <w:r>
        <w:separator/>
      </w:r>
    </w:p>
  </w:endnote>
  <w:endnote w:type="continuationSeparator" w:id="0">
    <w:p w:rsidR="00FF596F" w:rsidRDefault="00FF596F" w:rsidP="00A9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64C" w:rsidRPr="00A066E0" w:rsidRDefault="008E564C" w:rsidP="00A066E0">
    <w:pPr>
      <w:pStyle w:val="Footer"/>
      <w:pBdr>
        <w:top w:val="single" w:sz="4" w:space="1" w:color="auto"/>
      </w:pBdr>
      <w:jc w:val="center"/>
      <w:rPr>
        <w:rFonts w:asciiTheme="minorHAnsi" w:hAnsiTheme="minorHAnsi"/>
        <w:b/>
        <w:sz w:val="20"/>
        <w:szCs w:val="20"/>
      </w:rPr>
    </w:pPr>
    <w:proofErr w:type="spellStart"/>
    <w:r w:rsidRPr="00A066E0">
      <w:rPr>
        <w:rFonts w:asciiTheme="minorHAnsi" w:hAnsiTheme="minorHAnsi"/>
        <w:b/>
        <w:sz w:val="20"/>
        <w:szCs w:val="20"/>
      </w:rPr>
      <w:t>tel</w:t>
    </w:r>
    <w:proofErr w:type="spellEnd"/>
    <w:r w:rsidRPr="00A066E0">
      <w:rPr>
        <w:rFonts w:asciiTheme="minorHAnsi" w:hAnsiTheme="minorHAnsi"/>
        <w:b/>
        <w:sz w:val="20"/>
        <w:szCs w:val="20"/>
      </w:rPr>
      <w:t xml:space="preserve"> 4565 135 – fax 4565 256 – glasnogovornik@predsjedni</w:t>
    </w:r>
    <w:r w:rsidR="009020C4">
      <w:rPr>
        <w:rFonts w:asciiTheme="minorHAnsi" w:hAnsiTheme="minorHAnsi"/>
        <w:b/>
        <w:sz w:val="20"/>
        <w:szCs w:val="20"/>
      </w:rPr>
      <w:t>k</w:t>
    </w:r>
    <w:r w:rsidRPr="00A066E0">
      <w:rPr>
        <w:rFonts w:asciiTheme="minorHAnsi" w:hAnsiTheme="minorHAnsi"/>
        <w:b/>
        <w:sz w:val="20"/>
        <w:szCs w:val="20"/>
      </w:rPr>
      <w:t>.hr</w:t>
    </w:r>
  </w:p>
  <w:p w:rsidR="008E564C" w:rsidRPr="00A066E0" w:rsidRDefault="008E564C" w:rsidP="00A066E0">
    <w:pPr>
      <w:pStyle w:val="Footer"/>
      <w:pBdr>
        <w:top w:val="single" w:sz="4" w:space="1" w:color="auto"/>
      </w:pBdr>
      <w:jc w:val="center"/>
      <w:rPr>
        <w:rFonts w:asciiTheme="minorHAnsi" w:hAnsiTheme="minorHAnsi"/>
        <w:b/>
        <w:sz w:val="20"/>
        <w:szCs w:val="20"/>
      </w:rPr>
    </w:pPr>
    <w:r w:rsidRPr="00A066E0">
      <w:rPr>
        <w:rFonts w:asciiTheme="minorHAnsi" w:hAnsiTheme="minorHAnsi"/>
        <w:b/>
        <w:sz w:val="20"/>
        <w:szCs w:val="20"/>
      </w:rPr>
      <w:t>Pantovčak 241, 10 000 Zagreb – www.predsjedni</w:t>
    </w:r>
    <w:r w:rsidR="009020C4">
      <w:rPr>
        <w:rFonts w:asciiTheme="minorHAnsi" w:hAnsiTheme="minorHAnsi"/>
        <w:b/>
        <w:sz w:val="20"/>
        <w:szCs w:val="20"/>
      </w:rPr>
      <w:t>k</w:t>
    </w:r>
    <w:r w:rsidRPr="00A066E0">
      <w:rPr>
        <w:rFonts w:asciiTheme="minorHAnsi" w:hAnsiTheme="minorHAnsi"/>
        <w:b/>
        <w:sz w:val="20"/>
        <w:szCs w:val="20"/>
      </w:rPr>
      <w:t>.hr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64C" w:rsidRPr="00A066E0" w:rsidRDefault="008E564C" w:rsidP="008D1A11">
    <w:pPr>
      <w:pStyle w:val="Footer"/>
      <w:pBdr>
        <w:top w:val="single" w:sz="4" w:space="0" w:color="auto"/>
      </w:pBdr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t</w:t>
    </w:r>
    <w:r w:rsidRPr="00A066E0">
      <w:rPr>
        <w:rFonts w:asciiTheme="minorHAnsi" w:hAnsiTheme="minorHAnsi"/>
        <w:b/>
        <w:sz w:val="20"/>
        <w:szCs w:val="20"/>
      </w:rPr>
      <w:t>el</w:t>
    </w:r>
    <w:r>
      <w:rPr>
        <w:rFonts w:asciiTheme="minorHAnsi" w:hAnsiTheme="minorHAnsi"/>
        <w:b/>
        <w:sz w:val="20"/>
        <w:szCs w:val="20"/>
      </w:rPr>
      <w:t>.</w:t>
    </w:r>
    <w:r w:rsidRPr="00A066E0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01 </w:t>
    </w:r>
    <w:r w:rsidRPr="00A066E0">
      <w:rPr>
        <w:rFonts w:asciiTheme="minorHAnsi" w:hAnsiTheme="minorHAnsi"/>
        <w:b/>
        <w:sz w:val="20"/>
        <w:szCs w:val="20"/>
      </w:rPr>
      <w:t>4565 135 – fax</w:t>
    </w:r>
    <w:r>
      <w:rPr>
        <w:rFonts w:asciiTheme="minorHAnsi" w:hAnsiTheme="minorHAnsi"/>
        <w:b/>
        <w:sz w:val="20"/>
        <w:szCs w:val="20"/>
      </w:rPr>
      <w:t>.</w:t>
    </w:r>
    <w:r w:rsidRPr="00A066E0">
      <w:rPr>
        <w:rFonts w:asciiTheme="minorHAnsi" w:hAnsiTheme="minorHAnsi"/>
        <w:b/>
        <w:sz w:val="20"/>
        <w:szCs w:val="20"/>
      </w:rPr>
      <w:t xml:space="preserve"> </w:t>
    </w:r>
    <w:r>
      <w:rPr>
        <w:rFonts w:asciiTheme="minorHAnsi" w:hAnsiTheme="minorHAnsi"/>
        <w:b/>
        <w:sz w:val="20"/>
        <w:szCs w:val="20"/>
      </w:rPr>
      <w:t xml:space="preserve">01 </w:t>
    </w:r>
    <w:r w:rsidRPr="00A066E0">
      <w:rPr>
        <w:rFonts w:asciiTheme="minorHAnsi" w:hAnsiTheme="minorHAnsi"/>
        <w:b/>
        <w:sz w:val="20"/>
        <w:szCs w:val="20"/>
      </w:rPr>
      <w:t>4565 256 – glasnogovorni</w:t>
    </w:r>
    <w:r w:rsidR="00EA26ED">
      <w:rPr>
        <w:rFonts w:asciiTheme="minorHAnsi" w:hAnsiTheme="minorHAnsi"/>
        <w:b/>
        <w:sz w:val="20"/>
        <w:szCs w:val="20"/>
      </w:rPr>
      <w:t>k</w:t>
    </w:r>
    <w:r w:rsidRPr="00A066E0">
      <w:rPr>
        <w:rFonts w:asciiTheme="minorHAnsi" w:hAnsiTheme="minorHAnsi"/>
        <w:b/>
        <w:sz w:val="20"/>
        <w:szCs w:val="20"/>
      </w:rPr>
      <w:t>@predsjedni</w:t>
    </w:r>
    <w:r w:rsidR="00EA26ED">
      <w:rPr>
        <w:rFonts w:asciiTheme="minorHAnsi" w:hAnsiTheme="minorHAnsi"/>
        <w:b/>
        <w:sz w:val="20"/>
        <w:szCs w:val="20"/>
      </w:rPr>
      <w:t>k</w:t>
    </w:r>
    <w:r w:rsidRPr="00A066E0">
      <w:rPr>
        <w:rFonts w:asciiTheme="minorHAnsi" w:hAnsiTheme="minorHAnsi"/>
        <w:b/>
        <w:sz w:val="20"/>
        <w:szCs w:val="20"/>
      </w:rPr>
      <w:t>.hr</w:t>
    </w:r>
  </w:p>
  <w:p w:rsidR="008E564C" w:rsidRPr="00A066E0" w:rsidRDefault="008E564C" w:rsidP="008D1A11">
    <w:pPr>
      <w:pStyle w:val="Footer"/>
      <w:pBdr>
        <w:top w:val="single" w:sz="4" w:space="0" w:color="auto"/>
      </w:pBdr>
      <w:jc w:val="center"/>
      <w:rPr>
        <w:rFonts w:asciiTheme="minorHAnsi" w:hAnsiTheme="minorHAnsi"/>
        <w:b/>
        <w:sz w:val="20"/>
        <w:szCs w:val="20"/>
      </w:rPr>
    </w:pPr>
    <w:r w:rsidRPr="00A066E0">
      <w:rPr>
        <w:rFonts w:asciiTheme="minorHAnsi" w:hAnsiTheme="minorHAnsi"/>
        <w:b/>
        <w:sz w:val="20"/>
        <w:szCs w:val="20"/>
      </w:rPr>
      <w:t>Pantovčak 241, 10 000 Zagreb – www.predsjedni</w:t>
    </w:r>
    <w:r w:rsidR="00EA26ED">
      <w:rPr>
        <w:rFonts w:asciiTheme="minorHAnsi" w:hAnsiTheme="minorHAnsi"/>
        <w:b/>
        <w:sz w:val="20"/>
        <w:szCs w:val="20"/>
      </w:rPr>
      <w:t>k</w:t>
    </w:r>
    <w:r w:rsidRPr="00A066E0">
      <w:rPr>
        <w:rFonts w:asciiTheme="minorHAnsi" w:hAnsiTheme="minorHAnsi"/>
        <w:b/>
        <w:sz w:val="20"/>
        <w:szCs w:val="20"/>
      </w:rPr>
      <w:t>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6F" w:rsidRDefault="00FF596F" w:rsidP="00A91531">
      <w:r>
        <w:separator/>
      </w:r>
    </w:p>
  </w:footnote>
  <w:footnote w:type="continuationSeparator" w:id="0">
    <w:p w:rsidR="00FF596F" w:rsidRDefault="00FF596F" w:rsidP="00A9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E9" w:rsidRDefault="00520EE9" w:rsidP="00520EE9">
    <w:pPr>
      <w:jc w:val="center"/>
      <w:rPr>
        <w:rFonts w:asciiTheme="minorHAnsi" w:hAnsiTheme="minorHAnsi"/>
        <w:b/>
      </w:rPr>
    </w:pPr>
  </w:p>
  <w:p w:rsidR="00520EE9" w:rsidRDefault="00520EE9" w:rsidP="00520EE9">
    <w:pPr>
      <w:jc w:val="center"/>
      <w:rPr>
        <w:rFonts w:asciiTheme="minorHAnsi" w:hAnsiTheme="minorHAnsi"/>
        <w:b/>
      </w:rPr>
    </w:pPr>
  </w:p>
  <w:p w:rsidR="00520EE9" w:rsidRPr="001B2481" w:rsidRDefault="00520EE9" w:rsidP="00520EE9">
    <w:pPr>
      <w:jc w:val="center"/>
      <w:rPr>
        <w:rFonts w:asciiTheme="minorHAnsi" w:hAnsiTheme="minorHAnsi"/>
        <w:b/>
        <w:sz w:val="30"/>
        <w:szCs w:val="30"/>
      </w:rPr>
    </w:pPr>
  </w:p>
  <w:p w:rsidR="008E564C" w:rsidRDefault="008E564C" w:rsidP="00A91531">
    <w:pPr>
      <w:jc w:val="center"/>
      <w:rPr>
        <w:rFonts w:asciiTheme="minorHAnsi" w:hAnsiTheme="minorHAnsi"/>
        <w:b/>
      </w:rPr>
    </w:pPr>
  </w:p>
  <w:p w:rsidR="001946E1" w:rsidRDefault="001946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E9" w:rsidRDefault="00520EE9" w:rsidP="00520EE9">
    <w:pPr>
      <w:jc w:val="center"/>
    </w:pPr>
    <w:r>
      <w:rPr>
        <w:noProof/>
        <w:lang w:eastAsia="hr-HR"/>
      </w:rPr>
      <w:drawing>
        <wp:inline distT="0" distB="0" distL="0" distR="0" wp14:anchorId="42021F35" wp14:editId="66741549">
          <wp:extent cx="447675" cy="553823"/>
          <wp:effectExtent l="19050" t="0" r="9525" b="0"/>
          <wp:docPr id="9" name="Picture 2" descr="\\Ups25\Usr\rm2024\Desktop\g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ps25\Usr\rm2024\Desktop\gr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13" cy="555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0EE9" w:rsidRDefault="00520EE9" w:rsidP="00520EE9">
    <w:pPr>
      <w:jc w:val="center"/>
    </w:pPr>
  </w:p>
  <w:p w:rsidR="00520EE9" w:rsidRPr="00563DAC" w:rsidRDefault="00520EE9" w:rsidP="00520EE9">
    <w:pPr>
      <w:jc w:val="center"/>
      <w:rPr>
        <w:rFonts w:asciiTheme="minorHAnsi" w:hAnsiTheme="minorHAnsi"/>
        <w:b/>
      </w:rPr>
    </w:pPr>
    <w:r w:rsidRPr="00563DAC">
      <w:rPr>
        <w:rFonts w:asciiTheme="minorHAnsi" w:hAnsiTheme="minorHAnsi"/>
        <w:b/>
      </w:rPr>
      <w:t>URED PREDSJEDNI</w:t>
    </w:r>
    <w:r>
      <w:rPr>
        <w:rFonts w:asciiTheme="minorHAnsi" w:hAnsiTheme="minorHAnsi"/>
        <w:b/>
      </w:rPr>
      <w:t>KA</w:t>
    </w:r>
    <w:r w:rsidRPr="00563DAC">
      <w:rPr>
        <w:rFonts w:asciiTheme="minorHAnsi" w:hAnsiTheme="minorHAnsi"/>
        <w:b/>
      </w:rPr>
      <w:t xml:space="preserve"> REPUBLIKE HRVATSKE</w:t>
    </w:r>
  </w:p>
  <w:p w:rsidR="00520EE9" w:rsidRPr="00C34BFA" w:rsidRDefault="00520EE9" w:rsidP="00520EE9">
    <w:pPr>
      <w:jc w:val="center"/>
      <w:rPr>
        <w:b/>
      </w:rPr>
    </w:pPr>
    <w:r>
      <w:rPr>
        <w:b/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173FB" wp14:editId="4BAB0B39">
              <wp:simplePos x="0" y="0"/>
              <wp:positionH relativeFrom="column">
                <wp:posOffset>1946910</wp:posOffset>
              </wp:positionH>
              <wp:positionV relativeFrom="paragraph">
                <wp:posOffset>99060</wp:posOffset>
              </wp:positionV>
              <wp:extent cx="1857375" cy="635"/>
              <wp:effectExtent l="13335" t="13335" r="5715" b="508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573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58582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3.3pt;margin-top:7.8pt;width:146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t0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"/>
          </w:pict>
        </mc:Fallback>
      </mc:AlternateContent>
    </w:r>
  </w:p>
  <w:p w:rsidR="00520EE9" w:rsidRDefault="00520EE9" w:rsidP="00520EE9">
    <w:pPr>
      <w:jc w:val="center"/>
      <w:rPr>
        <w:rFonts w:asciiTheme="minorHAnsi" w:hAnsiTheme="minorHAnsi"/>
        <w:b/>
      </w:rPr>
    </w:pPr>
    <w:r w:rsidRPr="00563DAC">
      <w:rPr>
        <w:rFonts w:asciiTheme="minorHAnsi" w:hAnsiTheme="minorHAnsi"/>
        <w:b/>
      </w:rPr>
      <w:t>Služba za odnose s javnošću</w:t>
    </w:r>
  </w:p>
  <w:p w:rsidR="00520EE9" w:rsidRDefault="00520EE9" w:rsidP="00520EE9">
    <w:pPr>
      <w:jc w:val="center"/>
      <w:rPr>
        <w:rFonts w:asciiTheme="minorHAnsi" w:hAnsiTheme="minorHAnsi"/>
        <w:b/>
      </w:rPr>
    </w:pPr>
  </w:p>
  <w:p w:rsidR="00520EE9" w:rsidRDefault="00520EE9" w:rsidP="00520EE9">
    <w:pPr>
      <w:jc w:val="center"/>
      <w:rPr>
        <w:rFonts w:asciiTheme="minorHAnsi" w:hAnsiTheme="minorHAnsi"/>
        <w:b/>
      </w:rPr>
    </w:pPr>
  </w:p>
  <w:p w:rsidR="00520EE9" w:rsidRPr="001B2481" w:rsidRDefault="00520EE9" w:rsidP="00520EE9">
    <w:pPr>
      <w:jc w:val="center"/>
      <w:rPr>
        <w:rFonts w:asciiTheme="minorHAnsi" w:hAnsiTheme="minorHAnsi"/>
        <w:b/>
        <w:sz w:val="30"/>
        <w:szCs w:val="30"/>
      </w:rPr>
    </w:pPr>
    <w:r w:rsidRPr="001B2481">
      <w:rPr>
        <w:rFonts w:asciiTheme="minorHAnsi" w:hAnsiTheme="minorHAnsi"/>
        <w:b/>
        <w:sz w:val="30"/>
        <w:szCs w:val="30"/>
      </w:rPr>
      <w:t>PRIOPĆENJE</w:t>
    </w:r>
  </w:p>
  <w:p w:rsidR="00520EE9" w:rsidRDefault="00520E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AC"/>
    <w:rsid w:val="000022F1"/>
    <w:rsid w:val="0001280A"/>
    <w:rsid w:val="000257C0"/>
    <w:rsid w:val="000373FE"/>
    <w:rsid w:val="00037488"/>
    <w:rsid w:val="00037C51"/>
    <w:rsid w:val="00047574"/>
    <w:rsid w:val="00063D7A"/>
    <w:rsid w:val="0007521D"/>
    <w:rsid w:val="00077C27"/>
    <w:rsid w:val="000810C0"/>
    <w:rsid w:val="000835C9"/>
    <w:rsid w:val="00097B98"/>
    <w:rsid w:val="000A0DE2"/>
    <w:rsid w:val="000A1B15"/>
    <w:rsid w:val="000C738F"/>
    <w:rsid w:val="000D27D0"/>
    <w:rsid w:val="000D2CE1"/>
    <w:rsid w:val="000E1327"/>
    <w:rsid w:val="000E27C3"/>
    <w:rsid w:val="000E5A9C"/>
    <w:rsid w:val="00123C23"/>
    <w:rsid w:val="00126651"/>
    <w:rsid w:val="001277B2"/>
    <w:rsid w:val="001314D9"/>
    <w:rsid w:val="00132E7E"/>
    <w:rsid w:val="00135001"/>
    <w:rsid w:val="001441F3"/>
    <w:rsid w:val="00150F9A"/>
    <w:rsid w:val="00155F80"/>
    <w:rsid w:val="0015737D"/>
    <w:rsid w:val="00176E40"/>
    <w:rsid w:val="001871A1"/>
    <w:rsid w:val="001946E1"/>
    <w:rsid w:val="001B2481"/>
    <w:rsid w:val="001B469E"/>
    <w:rsid w:val="001B587A"/>
    <w:rsid w:val="001C35AF"/>
    <w:rsid w:val="001C64FE"/>
    <w:rsid w:val="001E215D"/>
    <w:rsid w:val="001F1B9A"/>
    <w:rsid w:val="001F2444"/>
    <w:rsid w:val="001F7CDA"/>
    <w:rsid w:val="00202E2E"/>
    <w:rsid w:val="00203C3D"/>
    <w:rsid w:val="00210A82"/>
    <w:rsid w:val="002121C9"/>
    <w:rsid w:val="002147F3"/>
    <w:rsid w:val="00215DE5"/>
    <w:rsid w:val="00216892"/>
    <w:rsid w:val="00216D4D"/>
    <w:rsid w:val="00222A96"/>
    <w:rsid w:val="00227B03"/>
    <w:rsid w:val="00230AEC"/>
    <w:rsid w:val="00230F8D"/>
    <w:rsid w:val="00241D73"/>
    <w:rsid w:val="00250376"/>
    <w:rsid w:val="00252DA0"/>
    <w:rsid w:val="002564C1"/>
    <w:rsid w:val="00256EEA"/>
    <w:rsid w:val="00261AD3"/>
    <w:rsid w:val="00283188"/>
    <w:rsid w:val="002A24F5"/>
    <w:rsid w:val="002B270C"/>
    <w:rsid w:val="002B7423"/>
    <w:rsid w:val="002D0A5C"/>
    <w:rsid w:val="002F64AA"/>
    <w:rsid w:val="003026C1"/>
    <w:rsid w:val="00302F0A"/>
    <w:rsid w:val="00310BA2"/>
    <w:rsid w:val="00312F23"/>
    <w:rsid w:val="00320784"/>
    <w:rsid w:val="003228C3"/>
    <w:rsid w:val="003279D8"/>
    <w:rsid w:val="00331C70"/>
    <w:rsid w:val="00346718"/>
    <w:rsid w:val="00356B04"/>
    <w:rsid w:val="0036002E"/>
    <w:rsid w:val="00370367"/>
    <w:rsid w:val="00376289"/>
    <w:rsid w:val="0039064E"/>
    <w:rsid w:val="00393592"/>
    <w:rsid w:val="00394A14"/>
    <w:rsid w:val="003A3AA8"/>
    <w:rsid w:val="003B2B23"/>
    <w:rsid w:val="003B39E9"/>
    <w:rsid w:val="003B3D05"/>
    <w:rsid w:val="003B5D3D"/>
    <w:rsid w:val="003C6F36"/>
    <w:rsid w:val="003D1E35"/>
    <w:rsid w:val="003E6072"/>
    <w:rsid w:val="003E7BE1"/>
    <w:rsid w:val="003F2155"/>
    <w:rsid w:val="003F6F27"/>
    <w:rsid w:val="0040130D"/>
    <w:rsid w:val="00405BB5"/>
    <w:rsid w:val="004178DF"/>
    <w:rsid w:val="00430B13"/>
    <w:rsid w:val="0044268B"/>
    <w:rsid w:val="004445F3"/>
    <w:rsid w:val="00461F88"/>
    <w:rsid w:val="00462447"/>
    <w:rsid w:val="00463416"/>
    <w:rsid w:val="0046595F"/>
    <w:rsid w:val="00465C6C"/>
    <w:rsid w:val="00471657"/>
    <w:rsid w:val="00471850"/>
    <w:rsid w:val="00485F23"/>
    <w:rsid w:val="004B0C4C"/>
    <w:rsid w:val="004B531C"/>
    <w:rsid w:val="004C6CC5"/>
    <w:rsid w:val="004E1F5E"/>
    <w:rsid w:val="004E3080"/>
    <w:rsid w:val="004E3A4E"/>
    <w:rsid w:val="004F1363"/>
    <w:rsid w:val="004F5F95"/>
    <w:rsid w:val="00507645"/>
    <w:rsid w:val="005140EB"/>
    <w:rsid w:val="00520EE9"/>
    <w:rsid w:val="00522413"/>
    <w:rsid w:val="0052689B"/>
    <w:rsid w:val="00527C09"/>
    <w:rsid w:val="0053091C"/>
    <w:rsid w:val="00531B33"/>
    <w:rsid w:val="00532BDD"/>
    <w:rsid w:val="00540517"/>
    <w:rsid w:val="00544E96"/>
    <w:rsid w:val="00554A1B"/>
    <w:rsid w:val="00563DAC"/>
    <w:rsid w:val="00571130"/>
    <w:rsid w:val="00571458"/>
    <w:rsid w:val="0059443F"/>
    <w:rsid w:val="005A6C94"/>
    <w:rsid w:val="005B40B0"/>
    <w:rsid w:val="005B62A5"/>
    <w:rsid w:val="005C096E"/>
    <w:rsid w:val="005C1D14"/>
    <w:rsid w:val="005C6831"/>
    <w:rsid w:val="005E52BC"/>
    <w:rsid w:val="005F5EC0"/>
    <w:rsid w:val="00607863"/>
    <w:rsid w:val="00620280"/>
    <w:rsid w:val="00637408"/>
    <w:rsid w:val="00637FA9"/>
    <w:rsid w:val="00641178"/>
    <w:rsid w:val="00650BD6"/>
    <w:rsid w:val="0065252D"/>
    <w:rsid w:val="00653968"/>
    <w:rsid w:val="00662DBE"/>
    <w:rsid w:val="00676A30"/>
    <w:rsid w:val="006962FF"/>
    <w:rsid w:val="006A004A"/>
    <w:rsid w:val="006A271B"/>
    <w:rsid w:val="006A6950"/>
    <w:rsid w:val="006C369C"/>
    <w:rsid w:val="006D08CF"/>
    <w:rsid w:val="006E380F"/>
    <w:rsid w:val="006F66E8"/>
    <w:rsid w:val="00725C25"/>
    <w:rsid w:val="00730D3B"/>
    <w:rsid w:val="00734334"/>
    <w:rsid w:val="00737B3E"/>
    <w:rsid w:val="007401D3"/>
    <w:rsid w:val="00764B9E"/>
    <w:rsid w:val="00767C10"/>
    <w:rsid w:val="00793E58"/>
    <w:rsid w:val="007B3233"/>
    <w:rsid w:val="007B4AAD"/>
    <w:rsid w:val="007C23C5"/>
    <w:rsid w:val="007C280B"/>
    <w:rsid w:val="007C5E2B"/>
    <w:rsid w:val="007D1186"/>
    <w:rsid w:val="007D56B7"/>
    <w:rsid w:val="007D6BFE"/>
    <w:rsid w:val="007F5DAB"/>
    <w:rsid w:val="007F725C"/>
    <w:rsid w:val="00804626"/>
    <w:rsid w:val="00815B2D"/>
    <w:rsid w:val="0081678B"/>
    <w:rsid w:val="00820E9A"/>
    <w:rsid w:val="00831BEA"/>
    <w:rsid w:val="00846D15"/>
    <w:rsid w:val="00847ACA"/>
    <w:rsid w:val="008529BB"/>
    <w:rsid w:val="00853CA4"/>
    <w:rsid w:val="00855413"/>
    <w:rsid w:val="008558DE"/>
    <w:rsid w:val="00873D5E"/>
    <w:rsid w:val="008A193E"/>
    <w:rsid w:val="008A43BC"/>
    <w:rsid w:val="008C1281"/>
    <w:rsid w:val="008C21A5"/>
    <w:rsid w:val="008D0DAD"/>
    <w:rsid w:val="008D1A11"/>
    <w:rsid w:val="008E5091"/>
    <w:rsid w:val="008E564C"/>
    <w:rsid w:val="008F021E"/>
    <w:rsid w:val="009020C4"/>
    <w:rsid w:val="00906705"/>
    <w:rsid w:val="00907392"/>
    <w:rsid w:val="00916493"/>
    <w:rsid w:val="0091774A"/>
    <w:rsid w:val="009230FB"/>
    <w:rsid w:val="009256F3"/>
    <w:rsid w:val="009621C4"/>
    <w:rsid w:val="00964373"/>
    <w:rsid w:val="009772BA"/>
    <w:rsid w:val="00997BC9"/>
    <w:rsid w:val="009A09FC"/>
    <w:rsid w:val="009A67E6"/>
    <w:rsid w:val="009A7969"/>
    <w:rsid w:val="009B1F4B"/>
    <w:rsid w:val="009B3F43"/>
    <w:rsid w:val="009B5701"/>
    <w:rsid w:val="009B583E"/>
    <w:rsid w:val="009C6740"/>
    <w:rsid w:val="009D52C9"/>
    <w:rsid w:val="009D72ED"/>
    <w:rsid w:val="009E5D95"/>
    <w:rsid w:val="009E7BF7"/>
    <w:rsid w:val="009F026E"/>
    <w:rsid w:val="00A037F0"/>
    <w:rsid w:val="00A066E0"/>
    <w:rsid w:val="00A13286"/>
    <w:rsid w:val="00A5337C"/>
    <w:rsid w:val="00A61DFE"/>
    <w:rsid w:val="00A628C9"/>
    <w:rsid w:val="00A6768D"/>
    <w:rsid w:val="00A6787F"/>
    <w:rsid w:val="00A74416"/>
    <w:rsid w:val="00A76D30"/>
    <w:rsid w:val="00A90664"/>
    <w:rsid w:val="00A91531"/>
    <w:rsid w:val="00A92366"/>
    <w:rsid w:val="00A92D40"/>
    <w:rsid w:val="00A97C8B"/>
    <w:rsid w:val="00AA32B2"/>
    <w:rsid w:val="00AA6784"/>
    <w:rsid w:val="00AD4222"/>
    <w:rsid w:val="00AD54C5"/>
    <w:rsid w:val="00AE50D2"/>
    <w:rsid w:val="00AF1312"/>
    <w:rsid w:val="00AF64C4"/>
    <w:rsid w:val="00B0133D"/>
    <w:rsid w:val="00B21FEF"/>
    <w:rsid w:val="00B26761"/>
    <w:rsid w:val="00B32DBA"/>
    <w:rsid w:val="00B418E3"/>
    <w:rsid w:val="00B442A4"/>
    <w:rsid w:val="00B65022"/>
    <w:rsid w:val="00B660A6"/>
    <w:rsid w:val="00B72B6F"/>
    <w:rsid w:val="00B8359B"/>
    <w:rsid w:val="00B849A4"/>
    <w:rsid w:val="00B8534F"/>
    <w:rsid w:val="00B86457"/>
    <w:rsid w:val="00BA1656"/>
    <w:rsid w:val="00BB4848"/>
    <w:rsid w:val="00BB642D"/>
    <w:rsid w:val="00BC10D4"/>
    <w:rsid w:val="00BC5AA6"/>
    <w:rsid w:val="00BD3C33"/>
    <w:rsid w:val="00BD7940"/>
    <w:rsid w:val="00BE04E7"/>
    <w:rsid w:val="00BF1800"/>
    <w:rsid w:val="00BF264E"/>
    <w:rsid w:val="00BF6498"/>
    <w:rsid w:val="00BF7B92"/>
    <w:rsid w:val="00C0063B"/>
    <w:rsid w:val="00C04040"/>
    <w:rsid w:val="00C11068"/>
    <w:rsid w:val="00C15CCE"/>
    <w:rsid w:val="00C21592"/>
    <w:rsid w:val="00C243FC"/>
    <w:rsid w:val="00C24FFD"/>
    <w:rsid w:val="00C30C08"/>
    <w:rsid w:val="00C32B3B"/>
    <w:rsid w:val="00C331F5"/>
    <w:rsid w:val="00C34BFA"/>
    <w:rsid w:val="00C3714E"/>
    <w:rsid w:val="00C5024E"/>
    <w:rsid w:val="00C52532"/>
    <w:rsid w:val="00C52CF6"/>
    <w:rsid w:val="00C57F9C"/>
    <w:rsid w:val="00C655B0"/>
    <w:rsid w:val="00C66D4B"/>
    <w:rsid w:val="00C81171"/>
    <w:rsid w:val="00C85D15"/>
    <w:rsid w:val="00C86D1A"/>
    <w:rsid w:val="00C9010C"/>
    <w:rsid w:val="00C919A9"/>
    <w:rsid w:val="00CA0DCC"/>
    <w:rsid w:val="00CA4FBB"/>
    <w:rsid w:val="00CA5E31"/>
    <w:rsid w:val="00CB1E87"/>
    <w:rsid w:val="00CB445F"/>
    <w:rsid w:val="00CC646C"/>
    <w:rsid w:val="00CD46C8"/>
    <w:rsid w:val="00CD5728"/>
    <w:rsid w:val="00CD5849"/>
    <w:rsid w:val="00CD7653"/>
    <w:rsid w:val="00CE6497"/>
    <w:rsid w:val="00CE6CEB"/>
    <w:rsid w:val="00CF00FB"/>
    <w:rsid w:val="00CF0AC4"/>
    <w:rsid w:val="00D042A6"/>
    <w:rsid w:val="00D13168"/>
    <w:rsid w:val="00D14018"/>
    <w:rsid w:val="00D44B5C"/>
    <w:rsid w:val="00D504A8"/>
    <w:rsid w:val="00D5250A"/>
    <w:rsid w:val="00D56F77"/>
    <w:rsid w:val="00D616FD"/>
    <w:rsid w:val="00D807DF"/>
    <w:rsid w:val="00D8335C"/>
    <w:rsid w:val="00D85547"/>
    <w:rsid w:val="00DA72C2"/>
    <w:rsid w:val="00DB0C0A"/>
    <w:rsid w:val="00DC1D36"/>
    <w:rsid w:val="00E20C45"/>
    <w:rsid w:val="00E229C8"/>
    <w:rsid w:val="00E315D7"/>
    <w:rsid w:val="00E32B7B"/>
    <w:rsid w:val="00E6111C"/>
    <w:rsid w:val="00EA0473"/>
    <w:rsid w:val="00EA26ED"/>
    <w:rsid w:val="00EA6949"/>
    <w:rsid w:val="00EB402B"/>
    <w:rsid w:val="00ED43AA"/>
    <w:rsid w:val="00F01DCC"/>
    <w:rsid w:val="00F05724"/>
    <w:rsid w:val="00F05EED"/>
    <w:rsid w:val="00F06166"/>
    <w:rsid w:val="00F0693E"/>
    <w:rsid w:val="00F16083"/>
    <w:rsid w:val="00F30D0B"/>
    <w:rsid w:val="00F4645D"/>
    <w:rsid w:val="00F84964"/>
    <w:rsid w:val="00F90ED3"/>
    <w:rsid w:val="00F932A7"/>
    <w:rsid w:val="00F96CFD"/>
    <w:rsid w:val="00FA2FC3"/>
    <w:rsid w:val="00FD2FC8"/>
    <w:rsid w:val="00FD360D"/>
    <w:rsid w:val="00FD786E"/>
    <w:rsid w:val="00FE7DC0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2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5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3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A915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31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96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C2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15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3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A915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31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96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predsjednik.hr/wp-content/uploads/2020/11/ZAPOVIJED-GL.-STOZERA-I-PROGRAM-OBILJEZAVANJA-BLAGDANA-SVIH-SVETIH-I-DUSNOG-DANA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predsjednik.hr/wp-content/uploads/2020/11/ODLUKA-MINISTRA-OBRANE-O-OBILJEZAVANJU-BLAGDANA-SVIH-SVETIH-I-DUSNOG-DANA.pdf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predsjednik.hr/vijesti/ured-predsjednika-republike-objavljuje-dokumente-koji-demantiraju-ministra-obrane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FC0B-3929-49F0-820B-2FF72EE8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Ured Predsjednice RH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 predsjednice Republike Hrvatske</dc:creator>
  <cp:lastModifiedBy>xx</cp:lastModifiedBy>
  <cp:revision>4</cp:revision>
  <cp:lastPrinted>2020-02-12T11:15:00Z</cp:lastPrinted>
  <dcterms:created xsi:type="dcterms:W3CDTF">2020-11-01T13:29:00Z</dcterms:created>
  <dcterms:modified xsi:type="dcterms:W3CDTF">2020-11-01T13:36:00Z</dcterms:modified>
</cp:coreProperties>
</file>